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A120" w14:textId="6253FBEE" w:rsidR="00CA1C4F" w:rsidRPr="00307139" w:rsidRDefault="00BB051A">
      <w:pPr>
        <w:rPr>
          <w:rFonts w:ascii="Arial" w:hAnsi="Arial" w:cs="Arial"/>
          <w:b/>
          <w:bCs/>
          <w:sz w:val="24"/>
          <w:szCs w:val="24"/>
        </w:rPr>
      </w:pPr>
      <w:r w:rsidRPr="00307139">
        <w:rPr>
          <w:rFonts w:ascii="Arial" w:hAnsi="Arial" w:cs="Arial"/>
          <w:b/>
          <w:bCs/>
          <w:sz w:val="24"/>
          <w:szCs w:val="24"/>
        </w:rPr>
        <w:t xml:space="preserve">Board Meeting </w:t>
      </w:r>
      <w:r w:rsidR="008C0A4D">
        <w:rPr>
          <w:rFonts w:ascii="Arial" w:hAnsi="Arial" w:cs="Arial"/>
          <w:b/>
          <w:bCs/>
          <w:sz w:val="24"/>
          <w:szCs w:val="24"/>
        </w:rPr>
        <w:t>March</w:t>
      </w:r>
      <w:r w:rsidR="003E6C5B">
        <w:rPr>
          <w:rFonts w:ascii="Arial" w:hAnsi="Arial" w:cs="Arial"/>
          <w:b/>
          <w:bCs/>
          <w:sz w:val="24"/>
          <w:szCs w:val="24"/>
        </w:rPr>
        <w:t xml:space="preserve"> 202</w:t>
      </w:r>
      <w:r w:rsidR="00BD2A5C">
        <w:rPr>
          <w:rFonts w:ascii="Arial" w:hAnsi="Arial" w:cs="Arial"/>
          <w:b/>
          <w:bCs/>
          <w:sz w:val="24"/>
          <w:szCs w:val="24"/>
        </w:rPr>
        <w:t>4</w:t>
      </w:r>
    </w:p>
    <w:p w14:paraId="7FE4C22C" w14:textId="79BBF5E3" w:rsidR="00BB051A" w:rsidRPr="00974651" w:rsidRDefault="00BB051A">
      <w:pPr>
        <w:rPr>
          <w:rFonts w:ascii="Arial" w:hAnsi="Arial" w:cs="Arial"/>
        </w:rPr>
      </w:pPr>
      <w:r w:rsidRPr="00974651">
        <w:rPr>
          <w:rFonts w:ascii="Arial" w:hAnsi="Arial" w:cs="Arial"/>
        </w:rPr>
        <w:t xml:space="preserve">The Board met </w:t>
      </w:r>
      <w:r w:rsidR="008C0A4D" w:rsidRPr="00111206">
        <w:rPr>
          <w:rFonts w:ascii="Arial" w:hAnsi="Arial" w:cs="Arial"/>
        </w:rPr>
        <w:t>20</w:t>
      </w:r>
      <w:r w:rsidR="00BD2A5C" w:rsidRPr="00111206">
        <w:rPr>
          <w:rFonts w:ascii="Arial" w:hAnsi="Arial" w:cs="Arial"/>
          <w:vertAlign w:val="superscript"/>
        </w:rPr>
        <w:t>th</w:t>
      </w:r>
      <w:r w:rsidR="00BD2A5C" w:rsidRPr="00111206">
        <w:rPr>
          <w:rFonts w:ascii="Arial" w:hAnsi="Arial" w:cs="Arial"/>
        </w:rPr>
        <w:t xml:space="preserve"> </w:t>
      </w:r>
      <w:r w:rsidR="00111206" w:rsidRPr="00111206">
        <w:rPr>
          <w:rFonts w:ascii="Arial" w:hAnsi="Arial" w:cs="Arial"/>
        </w:rPr>
        <w:t xml:space="preserve">March </w:t>
      </w:r>
      <w:r w:rsidR="00686AA3" w:rsidRPr="00111206">
        <w:rPr>
          <w:rFonts w:ascii="Arial" w:hAnsi="Arial" w:cs="Arial"/>
        </w:rPr>
        <w:t>202</w:t>
      </w:r>
      <w:r w:rsidR="00BD2A5C" w:rsidRPr="00111206">
        <w:rPr>
          <w:rFonts w:ascii="Arial" w:hAnsi="Arial" w:cs="Arial"/>
        </w:rPr>
        <w:t>4</w:t>
      </w:r>
      <w:r w:rsidRPr="00974651">
        <w:rPr>
          <w:rFonts w:ascii="Arial" w:hAnsi="Arial" w:cs="Arial"/>
        </w:rPr>
        <w:t xml:space="preserve"> </w:t>
      </w:r>
      <w:r w:rsidR="007E45F7" w:rsidRPr="00974651">
        <w:rPr>
          <w:rFonts w:ascii="Arial" w:hAnsi="Arial" w:cs="Arial"/>
        </w:rPr>
        <w:t>in the Windermere room at Bridge Mills</w:t>
      </w:r>
      <w:r w:rsidR="00862A2D" w:rsidRPr="00974651">
        <w:rPr>
          <w:rFonts w:ascii="Arial" w:hAnsi="Arial" w:cs="Arial"/>
        </w:rPr>
        <w:t xml:space="preserve">. </w:t>
      </w:r>
      <w:r w:rsidR="00BD2A5C" w:rsidRPr="00974651">
        <w:rPr>
          <w:rFonts w:ascii="Arial" w:hAnsi="Arial" w:cs="Arial"/>
        </w:rPr>
        <w:t>Ten</w:t>
      </w:r>
      <w:r w:rsidR="009F128B" w:rsidRPr="00974651">
        <w:rPr>
          <w:rFonts w:ascii="Arial" w:hAnsi="Arial" w:cs="Arial"/>
        </w:rPr>
        <w:t xml:space="preserve"> Board Directors attended the meeting</w:t>
      </w:r>
      <w:r w:rsidRPr="00974651">
        <w:rPr>
          <w:rFonts w:ascii="Arial" w:hAnsi="Arial" w:cs="Arial"/>
        </w:rPr>
        <w:t>.</w:t>
      </w:r>
    </w:p>
    <w:p w14:paraId="7227758E" w14:textId="289B991B" w:rsidR="0001778E" w:rsidRPr="00974651" w:rsidRDefault="0001778E">
      <w:pPr>
        <w:rPr>
          <w:rFonts w:ascii="Arial" w:hAnsi="Arial" w:cs="Arial"/>
        </w:rPr>
      </w:pPr>
      <w:r w:rsidRPr="00974651">
        <w:rPr>
          <w:rFonts w:ascii="Arial" w:hAnsi="Arial" w:cs="Arial"/>
        </w:rPr>
        <w:t xml:space="preserve">Also in attendance </w:t>
      </w:r>
      <w:r w:rsidR="005D72A0" w:rsidRPr="00974651">
        <w:rPr>
          <w:rFonts w:ascii="Arial" w:hAnsi="Arial" w:cs="Arial"/>
        </w:rPr>
        <w:t>were</w:t>
      </w:r>
      <w:r w:rsidRPr="00974651">
        <w:rPr>
          <w:rFonts w:ascii="Arial" w:hAnsi="Arial" w:cs="Arial"/>
        </w:rPr>
        <w:t xml:space="preserve"> Executive </w:t>
      </w:r>
      <w:r w:rsidR="003E6C5B" w:rsidRPr="00974651">
        <w:rPr>
          <w:rFonts w:ascii="Arial" w:hAnsi="Arial" w:cs="Arial"/>
        </w:rPr>
        <w:t>T</w:t>
      </w:r>
      <w:r w:rsidRPr="00974651">
        <w:rPr>
          <w:rFonts w:ascii="Arial" w:hAnsi="Arial" w:cs="Arial"/>
        </w:rPr>
        <w:t xml:space="preserve">eam </w:t>
      </w:r>
      <w:r w:rsidR="003E6C5B" w:rsidRPr="00974651">
        <w:rPr>
          <w:rFonts w:ascii="Arial" w:hAnsi="Arial" w:cs="Arial"/>
        </w:rPr>
        <w:t>M</w:t>
      </w:r>
      <w:r w:rsidRPr="00974651">
        <w:rPr>
          <w:rFonts w:ascii="Arial" w:hAnsi="Arial" w:cs="Arial"/>
        </w:rPr>
        <w:t>embe</w:t>
      </w:r>
      <w:r w:rsidR="006400DE" w:rsidRPr="00974651">
        <w:rPr>
          <w:rFonts w:ascii="Arial" w:hAnsi="Arial" w:cs="Arial"/>
        </w:rPr>
        <w:t>rs</w:t>
      </w:r>
      <w:r w:rsidR="00BD2A5C" w:rsidRPr="00974651">
        <w:rPr>
          <w:rFonts w:ascii="Arial" w:hAnsi="Arial" w:cs="Arial"/>
        </w:rPr>
        <w:t xml:space="preserve">, </w:t>
      </w:r>
      <w:r w:rsidR="008C0A4D" w:rsidRPr="00974651">
        <w:rPr>
          <w:rFonts w:ascii="Arial" w:hAnsi="Arial" w:cs="Arial"/>
        </w:rPr>
        <w:t xml:space="preserve">the </w:t>
      </w:r>
      <w:r w:rsidR="00BD2A5C" w:rsidRPr="00974651">
        <w:rPr>
          <w:rFonts w:ascii="Arial" w:hAnsi="Arial" w:cs="Arial"/>
        </w:rPr>
        <w:t>Head of Governance &amp; Risk</w:t>
      </w:r>
      <w:r w:rsidR="008C0A4D" w:rsidRPr="00974651">
        <w:rPr>
          <w:rFonts w:ascii="Arial" w:hAnsi="Arial" w:cs="Arial"/>
        </w:rPr>
        <w:t>,</w:t>
      </w:r>
      <w:r w:rsidR="00BD2A5C" w:rsidRPr="00974651">
        <w:rPr>
          <w:rFonts w:ascii="Arial" w:hAnsi="Arial" w:cs="Arial"/>
        </w:rPr>
        <w:t xml:space="preserve"> </w:t>
      </w:r>
      <w:r w:rsidR="008C0A4D" w:rsidRPr="00974651">
        <w:rPr>
          <w:rFonts w:ascii="Arial" w:hAnsi="Arial" w:cs="Arial"/>
        </w:rPr>
        <w:t xml:space="preserve">the </w:t>
      </w:r>
      <w:r w:rsidR="00BD2A5C" w:rsidRPr="00974651">
        <w:rPr>
          <w:rFonts w:ascii="Arial" w:hAnsi="Arial" w:cs="Arial"/>
        </w:rPr>
        <w:t xml:space="preserve">Head of </w:t>
      </w:r>
      <w:r w:rsidR="008C0A4D" w:rsidRPr="00974651">
        <w:rPr>
          <w:rFonts w:ascii="Arial" w:hAnsi="Arial" w:cs="Arial"/>
        </w:rPr>
        <w:t xml:space="preserve">Transformation and Digital Data and the Head of Financial Planning &amp; Treasury. TLF Research attended to present the Tenant Satisfaction survey results. </w:t>
      </w:r>
    </w:p>
    <w:p w14:paraId="07CFE131" w14:textId="7C4133E1" w:rsidR="0047363F" w:rsidRPr="00270799" w:rsidRDefault="001704A9" w:rsidP="0047363F">
      <w:pPr>
        <w:pStyle w:val="ListParagraph"/>
        <w:numPr>
          <w:ilvl w:val="0"/>
          <w:numId w:val="1"/>
        </w:numPr>
        <w:rPr>
          <w:rFonts w:ascii="Arial" w:hAnsi="Arial" w:cs="Arial"/>
          <w:bCs/>
        </w:rPr>
      </w:pPr>
      <w:r w:rsidRPr="00270799">
        <w:rPr>
          <w:rFonts w:ascii="Arial" w:eastAsia="MingLiU" w:hAnsi="Arial" w:cs="Arial"/>
          <w:bCs/>
          <w:lang w:eastAsia="zh-HK"/>
        </w:rPr>
        <w:t xml:space="preserve">The Board </w:t>
      </w:r>
      <w:r w:rsidRPr="00111206">
        <w:rPr>
          <w:rFonts w:ascii="Arial" w:eastAsia="MingLiU" w:hAnsi="Arial" w:cs="Arial"/>
          <w:b/>
          <w:lang w:eastAsia="zh-HK"/>
        </w:rPr>
        <w:t>approved</w:t>
      </w:r>
      <w:r w:rsidRPr="00270799">
        <w:rPr>
          <w:rFonts w:ascii="Arial" w:eastAsia="MingLiU" w:hAnsi="Arial" w:cs="Arial"/>
          <w:bCs/>
          <w:lang w:eastAsia="zh-HK"/>
        </w:rPr>
        <w:t xml:space="preserve"> the minutes </w:t>
      </w:r>
      <w:r w:rsidR="008C0A4D" w:rsidRPr="00270799">
        <w:rPr>
          <w:rFonts w:ascii="Arial" w:eastAsia="MingLiU" w:hAnsi="Arial" w:cs="Arial"/>
          <w:bCs/>
          <w:lang w:eastAsia="zh-HK"/>
        </w:rPr>
        <w:t>17</w:t>
      </w:r>
      <w:r w:rsidR="008C0A4D" w:rsidRPr="00270799">
        <w:rPr>
          <w:rFonts w:ascii="Arial" w:eastAsia="MingLiU" w:hAnsi="Arial" w:cs="Arial"/>
          <w:bCs/>
          <w:vertAlign w:val="superscript"/>
          <w:lang w:eastAsia="zh-HK"/>
        </w:rPr>
        <w:t>th</w:t>
      </w:r>
      <w:r w:rsidR="008C0A4D" w:rsidRPr="00270799">
        <w:rPr>
          <w:rFonts w:ascii="Arial" w:eastAsia="MingLiU" w:hAnsi="Arial" w:cs="Arial"/>
          <w:bCs/>
          <w:lang w:eastAsia="zh-HK"/>
        </w:rPr>
        <w:t xml:space="preserve"> January</w:t>
      </w:r>
      <w:r w:rsidR="00BD2A5C" w:rsidRPr="00270799">
        <w:rPr>
          <w:rFonts w:ascii="Arial" w:eastAsia="MingLiU" w:hAnsi="Arial" w:cs="Arial"/>
          <w:bCs/>
          <w:lang w:eastAsia="zh-HK"/>
        </w:rPr>
        <w:t xml:space="preserve"> 202</w:t>
      </w:r>
      <w:r w:rsidR="008C0A4D" w:rsidRPr="00270799">
        <w:rPr>
          <w:rFonts w:ascii="Arial" w:eastAsia="MingLiU" w:hAnsi="Arial" w:cs="Arial"/>
          <w:bCs/>
          <w:lang w:eastAsia="zh-HK"/>
        </w:rPr>
        <w:t>4.</w:t>
      </w:r>
    </w:p>
    <w:p w14:paraId="194B8233" w14:textId="2AEA9B6E" w:rsidR="008C0A4D" w:rsidRPr="00270799" w:rsidRDefault="008C0A4D" w:rsidP="0047363F">
      <w:pPr>
        <w:pStyle w:val="ListParagraph"/>
        <w:numPr>
          <w:ilvl w:val="0"/>
          <w:numId w:val="1"/>
        </w:numPr>
        <w:rPr>
          <w:rFonts w:ascii="Arial" w:hAnsi="Arial" w:cs="Arial"/>
          <w:bCs/>
        </w:rPr>
      </w:pPr>
      <w:r w:rsidRPr="00270799">
        <w:rPr>
          <w:rFonts w:ascii="Arial" w:eastAsia="MingLiU" w:hAnsi="Arial" w:cs="Arial"/>
          <w:bCs/>
          <w:lang w:eastAsia="zh-HK"/>
        </w:rPr>
        <w:t xml:space="preserve">TLF presented the outcome of the tenant satisfaction survey, </w:t>
      </w:r>
      <w:r w:rsidRPr="00270799">
        <w:rPr>
          <w:rFonts w:ascii="Arial" w:eastAsia="MingLiU" w:hAnsi="Arial" w:cs="Arial"/>
          <w:lang w:eastAsia="zh-HK"/>
        </w:rPr>
        <w:t>which included performance against the Regulator of Social Housing Tenant Satisfaction Measures. TLF highlighted the overall satisfaction level of 78.6% (</w:t>
      </w:r>
      <w:proofErr w:type="gramStart"/>
      <w:r w:rsidRPr="00270799">
        <w:rPr>
          <w:rFonts w:ascii="Arial" w:eastAsia="MingLiU" w:hAnsi="Arial" w:cs="Arial"/>
          <w:lang w:eastAsia="zh-HK"/>
        </w:rPr>
        <w:t>very &amp; fairly satisfied</w:t>
      </w:r>
      <w:proofErr w:type="gramEnd"/>
      <w:r w:rsidRPr="00270799">
        <w:rPr>
          <w:rFonts w:ascii="Arial" w:eastAsia="MingLiU" w:hAnsi="Arial" w:cs="Arial"/>
          <w:lang w:eastAsia="zh-HK"/>
        </w:rPr>
        <w:t>) which was in the top quartile of peers who also used TLF for their perception survey.</w:t>
      </w:r>
    </w:p>
    <w:p w14:paraId="7310AA17" w14:textId="77777777" w:rsidR="00270799" w:rsidRPr="00270799" w:rsidRDefault="00270799" w:rsidP="00270799">
      <w:pPr>
        <w:pStyle w:val="ListParagraph"/>
        <w:numPr>
          <w:ilvl w:val="0"/>
          <w:numId w:val="1"/>
        </w:numPr>
        <w:jc w:val="both"/>
        <w:rPr>
          <w:rFonts w:ascii="Arial" w:eastAsia="MingLiU" w:hAnsi="Arial" w:cs="Arial"/>
          <w:bCs/>
          <w:lang w:eastAsia="zh-HK"/>
        </w:rPr>
      </w:pPr>
      <w:r w:rsidRPr="00270799">
        <w:rPr>
          <w:rFonts w:ascii="Arial" w:eastAsia="MingLiU" w:hAnsi="Arial" w:cs="Arial"/>
          <w:bCs/>
          <w:lang w:eastAsia="zh-HK"/>
        </w:rPr>
        <w:t xml:space="preserve">The Chair advised the Board that he had attended the NHF Regional Chairs meeting where debate included the role of the Housing Ombudsman Service within the regulatory environment and challenged proposed regulatory changes including the extension of </w:t>
      </w:r>
      <w:proofErr w:type="spellStart"/>
      <w:r w:rsidRPr="00270799">
        <w:rPr>
          <w:rFonts w:ascii="Arial" w:eastAsia="MingLiU" w:hAnsi="Arial" w:cs="Arial"/>
          <w:bCs/>
          <w:lang w:eastAsia="zh-HK"/>
        </w:rPr>
        <w:t>Awaab’s</w:t>
      </w:r>
      <w:proofErr w:type="spellEnd"/>
      <w:r w:rsidRPr="00270799">
        <w:rPr>
          <w:rFonts w:ascii="Arial" w:eastAsia="MingLiU" w:hAnsi="Arial" w:cs="Arial"/>
          <w:bCs/>
          <w:lang w:eastAsia="zh-HK"/>
        </w:rPr>
        <w:t xml:space="preserve"> Law into all HHSRS areas which was currently in consultation.  The Chair also advised the upcoming Board of a </w:t>
      </w:r>
      <w:proofErr w:type="spellStart"/>
      <w:r w:rsidRPr="00270799">
        <w:rPr>
          <w:rFonts w:ascii="Arial" w:eastAsia="MingLiU" w:hAnsi="Arial" w:cs="Arial"/>
          <w:bCs/>
          <w:lang w:eastAsia="zh-HK"/>
        </w:rPr>
        <w:t>Placeshapers</w:t>
      </w:r>
      <w:proofErr w:type="spellEnd"/>
      <w:r w:rsidRPr="00270799">
        <w:rPr>
          <w:rFonts w:ascii="Arial" w:eastAsia="MingLiU" w:hAnsi="Arial" w:cs="Arial"/>
          <w:bCs/>
          <w:lang w:eastAsia="zh-HK"/>
        </w:rPr>
        <w:t xml:space="preserve"> meeting where the impact of the proposed regulatory changes on smaller organisations would be discussed.</w:t>
      </w:r>
    </w:p>
    <w:p w14:paraId="59155285" w14:textId="209DF1C4" w:rsidR="00270799" w:rsidRPr="00283065" w:rsidRDefault="00270799" w:rsidP="00270799">
      <w:pPr>
        <w:pStyle w:val="ListParagraph"/>
        <w:numPr>
          <w:ilvl w:val="0"/>
          <w:numId w:val="1"/>
        </w:numPr>
        <w:rPr>
          <w:rFonts w:ascii="Arial" w:hAnsi="Arial" w:cs="Arial"/>
          <w:bCs/>
        </w:rPr>
      </w:pPr>
      <w:r w:rsidRPr="00270799">
        <w:rPr>
          <w:rFonts w:ascii="Arial" w:hAnsi="Arial" w:cs="Arial"/>
          <w:bCs/>
        </w:rPr>
        <w:t>The Chair of the Audit &amp; Risk Committee and the Chair of the Development Committee shared updates with members of the Board</w:t>
      </w:r>
      <w:r w:rsidR="00DA2542">
        <w:rPr>
          <w:rFonts w:ascii="Arial" w:hAnsi="Arial" w:cs="Arial"/>
          <w:bCs/>
        </w:rPr>
        <w:t>,</w:t>
      </w:r>
      <w:r w:rsidRPr="00270799">
        <w:rPr>
          <w:rFonts w:ascii="Arial" w:hAnsi="Arial" w:cs="Arial"/>
          <w:bCs/>
        </w:rPr>
        <w:t xml:space="preserve"> following the updates t</w:t>
      </w:r>
      <w:r w:rsidRPr="00270799">
        <w:rPr>
          <w:rFonts w:ascii="Arial" w:eastAsia="MingLiU" w:hAnsi="Arial" w:cs="Arial"/>
          <w:bCs/>
          <w:lang w:eastAsia="zh-HK"/>
        </w:rPr>
        <w:t xml:space="preserve">he Board </w:t>
      </w:r>
      <w:r w:rsidRPr="00270799">
        <w:rPr>
          <w:rFonts w:ascii="Arial" w:eastAsia="MingLiU" w:hAnsi="Arial" w:cs="Arial"/>
          <w:b/>
          <w:lang w:eastAsia="zh-HK"/>
        </w:rPr>
        <w:t>approved</w:t>
      </w:r>
      <w:r w:rsidRPr="00270799">
        <w:rPr>
          <w:rFonts w:ascii="Arial" w:eastAsia="MingLiU" w:hAnsi="Arial" w:cs="Arial"/>
          <w:bCs/>
          <w:lang w:eastAsia="zh-HK"/>
        </w:rPr>
        <w:t xml:space="preserve"> the acquisition of the two properties outside of the normal operating area for shared ownership.</w:t>
      </w:r>
    </w:p>
    <w:p w14:paraId="0985F42E" w14:textId="44CC78BB" w:rsidR="00283065" w:rsidRPr="00270799" w:rsidRDefault="00283065" w:rsidP="00270799">
      <w:pPr>
        <w:pStyle w:val="ListParagraph"/>
        <w:numPr>
          <w:ilvl w:val="0"/>
          <w:numId w:val="1"/>
        </w:numPr>
        <w:rPr>
          <w:rFonts w:ascii="Arial" w:hAnsi="Arial" w:cs="Arial"/>
          <w:bCs/>
        </w:rPr>
      </w:pPr>
      <w:r>
        <w:rPr>
          <w:rFonts w:ascii="Arial" w:eastAsia="MingLiU" w:hAnsi="Arial" w:cs="Arial"/>
          <w:bCs/>
          <w:lang w:eastAsia="zh-HK"/>
        </w:rPr>
        <w:t xml:space="preserve">The Board </w:t>
      </w:r>
      <w:r w:rsidRPr="00283065">
        <w:rPr>
          <w:rFonts w:ascii="Arial" w:eastAsia="MingLiU" w:hAnsi="Arial" w:cs="Arial"/>
          <w:b/>
          <w:lang w:eastAsia="zh-HK"/>
        </w:rPr>
        <w:t xml:space="preserve">approved </w:t>
      </w:r>
    </w:p>
    <w:p w14:paraId="3CBDF495" w14:textId="05925F03" w:rsidR="00283065" w:rsidRPr="00283065" w:rsidRDefault="00283065" w:rsidP="00283065">
      <w:pPr>
        <w:pStyle w:val="ListParagraph"/>
        <w:numPr>
          <w:ilvl w:val="1"/>
          <w:numId w:val="1"/>
        </w:numPr>
        <w:spacing w:after="0" w:line="240" w:lineRule="auto"/>
        <w:jc w:val="both"/>
        <w:rPr>
          <w:rFonts w:ascii="Arial" w:eastAsia="MingLiU" w:hAnsi="Arial" w:cs="Arial"/>
          <w:lang w:eastAsia="zh-HK"/>
        </w:rPr>
      </w:pPr>
      <w:r w:rsidRPr="00283065">
        <w:rPr>
          <w:rFonts w:ascii="Arial" w:eastAsia="MingLiU" w:hAnsi="Arial" w:cs="Arial"/>
          <w:lang w:eastAsia="zh-HK"/>
        </w:rPr>
        <w:t>the revising down the forecast variable interest rate for 2024/25 by 0.25% to 5.50% (including prudential risk buffer of 10%), to reflect the latest economic forecast received from David Tolson Partnership.</w:t>
      </w:r>
    </w:p>
    <w:p w14:paraId="1B55470C" w14:textId="77777777" w:rsidR="00283065" w:rsidRPr="00283065" w:rsidRDefault="00283065" w:rsidP="00283065">
      <w:pPr>
        <w:pStyle w:val="ListParagraph"/>
        <w:numPr>
          <w:ilvl w:val="1"/>
          <w:numId w:val="1"/>
        </w:numPr>
        <w:spacing w:after="0" w:line="240" w:lineRule="auto"/>
        <w:jc w:val="both"/>
        <w:rPr>
          <w:rFonts w:ascii="Arial" w:eastAsia="MingLiU" w:hAnsi="Arial" w:cs="Arial"/>
          <w:lang w:eastAsia="zh-HK"/>
        </w:rPr>
      </w:pPr>
      <w:r w:rsidRPr="00283065">
        <w:rPr>
          <w:rFonts w:ascii="Arial" w:eastAsia="MingLiU" w:hAnsi="Arial" w:cs="Arial"/>
          <w:lang w:eastAsia="zh-HK"/>
        </w:rPr>
        <w:t>the proposed budget for 20204/25</w:t>
      </w:r>
    </w:p>
    <w:p w14:paraId="00F5BECA" w14:textId="77777777" w:rsidR="00283065" w:rsidRPr="00283065" w:rsidRDefault="00283065" w:rsidP="00283065">
      <w:pPr>
        <w:pStyle w:val="ListParagraph"/>
        <w:numPr>
          <w:ilvl w:val="1"/>
          <w:numId w:val="1"/>
        </w:numPr>
        <w:spacing w:after="0" w:line="240" w:lineRule="auto"/>
        <w:jc w:val="both"/>
        <w:rPr>
          <w:rFonts w:ascii="Arial" w:eastAsia="MingLiU" w:hAnsi="Arial" w:cs="Arial"/>
          <w:lang w:eastAsia="zh-HK"/>
        </w:rPr>
      </w:pPr>
      <w:r w:rsidRPr="00283065">
        <w:rPr>
          <w:rFonts w:ascii="Arial" w:eastAsia="Yu Mincho" w:hAnsi="Arial" w:cs="Arial"/>
        </w:rPr>
        <w:t>the Long-Term Financial Plan (LTFP) having reviewed the loan covenant headroom which demonstrated above loan covenant minimum requirements, and above the required Financial Golden Rules.</w:t>
      </w:r>
    </w:p>
    <w:p w14:paraId="2C1319B1" w14:textId="77777777" w:rsidR="00283065" w:rsidRPr="00283065" w:rsidRDefault="00283065" w:rsidP="00283065">
      <w:pPr>
        <w:pStyle w:val="ListParagraph"/>
        <w:numPr>
          <w:ilvl w:val="1"/>
          <w:numId w:val="1"/>
        </w:numPr>
        <w:spacing w:after="0" w:line="240" w:lineRule="auto"/>
        <w:jc w:val="both"/>
        <w:rPr>
          <w:rFonts w:ascii="Arial" w:eastAsia="MingLiU" w:hAnsi="Arial" w:cs="Arial"/>
          <w:lang w:eastAsia="zh-HK"/>
        </w:rPr>
      </w:pPr>
      <w:r w:rsidRPr="00283065">
        <w:rPr>
          <w:rFonts w:ascii="Arial" w:eastAsia="Yu Mincho" w:hAnsi="Arial" w:cs="Arial"/>
        </w:rPr>
        <w:t>that the LTFP is utilised to complete the Financial Forecast Return (FFR) to the Regulator in advance of the deadline of 30 June 2024.</w:t>
      </w:r>
    </w:p>
    <w:p w14:paraId="64F7932D" w14:textId="77777777" w:rsidR="00283065" w:rsidRPr="00283065" w:rsidRDefault="00283065" w:rsidP="00283065">
      <w:pPr>
        <w:pStyle w:val="ListParagraph"/>
        <w:numPr>
          <w:ilvl w:val="1"/>
          <w:numId w:val="1"/>
        </w:numPr>
        <w:spacing w:after="0" w:line="240" w:lineRule="auto"/>
        <w:jc w:val="both"/>
        <w:rPr>
          <w:rFonts w:ascii="Arial" w:eastAsia="MingLiU" w:hAnsi="Arial" w:cs="Arial"/>
          <w:lang w:eastAsia="zh-HK"/>
        </w:rPr>
      </w:pPr>
      <w:r w:rsidRPr="00283065">
        <w:rPr>
          <w:rFonts w:ascii="Arial" w:eastAsia="Yu Mincho" w:hAnsi="Arial" w:cs="Arial"/>
        </w:rPr>
        <w:t>the stress test scenarios, including the analysis of the modelled financial covenant and financial golden rule breaches and that the proposed actions in the Resilience Plan can be utilised to mitigate these breaches if these risks were to crystallise.</w:t>
      </w:r>
    </w:p>
    <w:p w14:paraId="16EA7616" w14:textId="77777777" w:rsidR="00283065" w:rsidRPr="00283065" w:rsidRDefault="00283065" w:rsidP="00283065">
      <w:pPr>
        <w:pStyle w:val="ListParagraph"/>
        <w:numPr>
          <w:ilvl w:val="1"/>
          <w:numId w:val="1"/>
        </w:numPr>
        <w:spacing w:after="0" w:line="240" w:lineRule="auto"/>
        <w:jc w:val="both"/>
        <w:rPr>
          <w:rFonts w:ascii="Arial" w:eastAsia="MingLiU" w:hAnsi="Arial" w:cs="Arial"/>
          <w:lang w:eastAsia="zh-HK"/>
        </w:rPr>
      </w:pPr>
      <w:r w:rsidRPr="00283065">
        <w:rPr>
          <w:rFonts w:ascii="Arial" w:eastAsia="Poppins Light" w:hAnsi="Arial" w:cs="Arial"/>
        </w:rPr>
        <w:t>an updated net debt repayment Financial Golden Rule, that requires SLH to demonstrate nil net debt within 35 years.</w:t>
      </w:r>
    </w:p>
    <w:p w14:paraId="017B2287" w14:textId="3915DDCB" w:rsidR="00283065" w:rsidRPr="00283065" w:rsidRDefault="00283065" w:rsidP="00283065">
      <w:pPr>
        <w:pStyle w:val="ListParagraph"/>
        <w:numPr>
          <w:ilvl w:val="1"/>
          <w:numId w:val="1"/>
        </w:numPr>
        <w:spacing w:after="0" w:line="240" w:lineRule="auto"/>
        <w:jc w:val="both"/>
        <w:rPr>
          <w:rFonts w:ascii="Arial" w:eastAsia="MingLiU" w:hAnsi="Arial" w:cs="Arial"/>
          <w:lang w:eastAsia="zh-HK"/>
        </w:rPr>
      </w:pPr>
      <w:r w:rsidRPr="00283065">
        <w:rPr>
          <w:rFonts w:ascii="Arial" w:eastAsia="Yu Mincho" w:hAnsi="Arial" w:cs="Arial"/>
        </w:rPr>
        <w:t>the annual update of the Resilience Plan Policy, principally to reflect the updated financial mitigations presented in this report.</w:t>
      </w:r>
    </w:p>
    <w:p w14:paraId="285488E6" w14:textId="31EB3746" w:rsidR="00283065" w:rsidRDefault="00283065" w:rsidP="00283065">
      <w:pPr>
        <w:pStyle w:val="ListParagraph"/>
        <w:numPr>
          <w:ilvl w:val="0"/>
          <w:numId w:val="27"/>
        </w:numPr>
        <w:jc w:val="both"/>
        <w:rPr>
          <w:rFonts w:eastAsia="MingLiU" w:cs="Arial"/>
          <w:lang w:eastAsia="zh-HK"/>
        </w:rPr>
      </w:pPr>
      <w:r w:rsidRPr="00283065">
        <w:rPr>
          <w:rFonts w:ascii="Arial" w:eastAsia="MingLiU" w:hAnsi="Arial" w:cs="Arial"/>
          <w:lang w:eastAsia="zh-HK"/>
        </w:rPr>
        <w:t>The Board discussed Development appraisal assumptions criteria ha</w:t>
      </w:r>
      <w:r>
        <w:rPr>
          <w:rFonts w:ascii="Arial" w:eastAsia="MingLiU" w:hAnsi="Arial" w:cs="Arial"/>
          <w:lang w:eastAsia="zh-HK"/>
        </w:rPr>
        <w:t>s</w:t>
      </w:r>
      <w:r w:rsidRPr="00283065">
        <w:rPr>
          <w:rFonts w:ascii="Arial" w:eastAsia="MingLiU" w:hAnsi="Arial" w:cs="Arial"/>
          <w:lang w:eastAsia="zh-HK"/>
        </w:rPr>
        <w:t xml:space="preserve"> been validated by an external party, SDS, highlighting the main difference </w:t>
      </w:r>
      <w:r>
        <w:rPr>
          <w:rFonts w:ascii="Arial" w:eastAsia="MingLiU" w:hAnsi="Arial" w:cs="Arial"/>
          <w:lang w:eastAsia="zh-HK"/>
        </w:rPr>
        <w:t xml:space="preserve">in </w:t>
      </w:r>
      <w:r w:rsidRPr="00283065">
        <w:rPr>
          <w:rFonts w:ascii="Arial" w:eastAsia="MingLiU" w:hAnsi="Arial" w:cs="Arial"/>
          <w:lang w:eastAsia="zh-HK"/>
        </w:rPr>
        <w:t xml:space="preserve">the increase to the discount rate due to future development being funded by more expensive debt. </w:t>
      </w:r>
      <w:r>
        <w:rPr>
          <w:rFonts w:ascii="Arial" w:eastAsia="MingLiU" w:hAnsi="Arial" w:cs="Arial"/>
          <w:lang w:eastAsia="zh-HK"/>
        </w:rPr>
        <w:t>It was</w:t>
      </w:r>
      <w:r w:rsidRPr="00283065">
        <w:rPr>
          <w:rFonts w:ascii="Arial" w:eastAsia="MingLiU" w:hAnsi="Arial" w:cs="Arial"/>
          <w:lang w:eastAsia="zh-HK"/>
        </w:rPr>
        <w:t xml:space="preserve"> highlighted that since the report was issued, the forecast rent collection level has been amended as proposed by ELT and the revised level will therefore be used for appraisal purposes</w:t>
      </w:r>
      <w:r w:rsidRPr="00283065">
        <w:rPr>
          <w:rFonts w:eastAsia="MingLiU" w:cs="Arial"/>
          <w:lang w:eastAsia="zh-HK"/>
        </w:rPr>
        <w:t>.</w:t>
      </w:r>
      <w:r>
        <w:rPr>
          <w:rFonts w:eastAsia="MingLiU" w:cs="Arial"/>
          <w:lang w:eastAsia="zh-HK"/>
        </w:rPr>
        <w:t xml:space="preserve"> </w:t>
      </w:r>
      <w:r w:rsidRPr="00283065">
        <w:rPr>
          <w:rFonts w:ascii="Arial" w:eastAsia="MingLiU" w:hAnsi="Arial" w:cs="Arial"/>
          <w:lang w:eastAsia="zh-HK"/>
        </w:rPr>
        <w:t xml:space="preserve">The Board </w:t>
      </w:r>
      <w:r w:rsidRPr="00283065">
        <w:rPr>
          <w:rFonts w:ascii="Arial" w:eastAsia="MingLiU" w:hAnsi="Arial" w:cs="Arial"/>
          <w:b/>
          <w:bCs/>
          <w:lang w:eastAsia="zh-HK"/>
        </w:rPr>
        <w:t>approved</w:t>
      </w:r>
      <w:r w:rsidRPr="00283065">
        <w:rPr>
          <w:rFonts w:ascii="Arial" w:eastAsia="MingLiU" w:hAnsi="Arial" w:cs="Arial"/>
          <w:lang w:eastAsia="zh-HK"/>
        </w:rPr>
        <w:t xml:space="preserve"> the revised criteria as recommended by the Development Committee</w:t>
      </w:r>
      <w:r>
        <w:rPr>
          <w:rFonts w:eastAsia="MingLiU" w:cs="Arial"/>
          <w:lang w:eastAsia="zh-HK"/>
        </w:rPr>
        <w:t xml:space="preserve">. </w:t>
      </w:r>
    </w:p>
    <w:p w14:paraId="4BC4F2BD" w14:textId="70A3F7E1" w:rsidR="00283065" w:rsidRDefault="00283065" w:rsidP="00283065">
      <w:pPr>
        <w:pStyle w:val="ListParagraph"/>
        <w:numPr>
          <w:ilvl w:val="0"/>
          <w:numId w:val="27"/>
        </w:numPr>
        <w:jc w:val="both"/>
        <w:rPr>
          <w:rFonts w:ascii="Arial" w:eastAsia="MingLiU" w:hAnsi="Arial" w:cs="Arial"/>
          <w:lang w:eastAsia="zh-HK"/>
        </w:rPr>
      </w:pPr>
      <w:r w:rsidRPr="00283065">
        <w:rPr>
          <w:rFonts w:ascii="Arial" w:eastAsia="MingLiU" w:hAnsi="Arial" w:cs="Arial"/>
          <w:lang w:eastAsia="zh-HK"/>
        </w:rPr>
        <w:t xml:space="preserve">The Director of Customer Experience presented the report and provided the Board with an updated self-assessment against the revised Housing Ombudsman Service </w:t>
      </w:r>
      <w:r w:rsidRPr="00283065">
        <w:rPr>
          <w:rFonts w:ascii="Arial" w:eastAsia="MingLiU" w:hAnsi="Arial" w:cs="Arial"/>
          <w:lang w:eastAsia="zh-HK"/>
        </w:rPr>
        <w:lastRenderedPageBreak/>
        <w:t xml:space="preserve">Complaint Handling Code, updated Complaints </w:t>
      </w:r>
      <w:proofErr w:type="gramStart"/>
      <w:r w:rsidRPr="00283065">
        <w:rPr>
          <w:rFonts w:ascii="Arial" w:eastAsia="MingLiU" w:hAnsi="Arial" w:cs="Arial"/>
          <w:lang w:eastAsia="zh-HK"/>
        </w:rPr>
        <w:t>Policy</w:t>
      </w:r>
      <w:proofErr w:type="gramEnd"/>
      <w:r w:rsidRPr="00283065">
        <w:rPr>
          <w:rFonts w:ascii="Arial" w:eastAsia="MingLiU" w:hAnsi="Arial" w:cs="Arial"/>
          <w:lang w:eastAsia="zh-HK"/>
        </w:rPr>
        <w:t xml:space="preserve"> and updated Compensation Policy.</w:t>
      </w:r>
    </w:p>
    <w:p w14:paraId="4DF38899" w14:textId="6ABE56F2" w:rsidR="00283065" w:rsidRDefault="00283065" w:rsidP="00283065">
      <w:pPr>
        <w:pStyle w:val="ListParagraph"/>
        <w:numPr>
          <w:ilvl w:val="0"/>
          <w:numId w:val="27"/>
        </w:numPr>
        <w:jc w:val="both"/>
        <w:rPr>
          <w:rFonts w:ascii="Arial" w:eastAsia="MingLiU" w:hAnsi="Arial" w:cs="Arial"/>
          <w:lang w:eastAsia="zh-HK"/>
        </w:rPr>
      </w:pPr>
      <w:r>
        <w:rPr>
          <w:rFonts w:ascii="Arial" w:eastAsia="MingLiU" w:hAnsi="Arial" w:cs="Arial"/>
          <w:lang w:eastAsia="zh-HK"/>
        </w:rPr>
        <w:t xml:space="preserve">The Board </w:t>
      </w:r>
      <w:r>
        <w:rPr>
          <w:rFonts w:ascii="Arial" w:eastAsia="MingLiU" w:hAnsi="Arial" w:cs="Arial"/>
          <w:b/>
          <w:bCs/>
          <w:lang w:eastAsia="zh-HK"/>
        </w:rPr>
        <w:t>a</w:t>
      </w:r>
      <w:r w:rsidRPr="00283065">
        <w:rPr>
          <w:rFonts w:ascii="Arial" w:eastAsia="MingLiU" w:hAnsi="Arial" w:cs="Arial"/>
          <w:b/>
          <w:bCs/>
          <w:lang w:eastAsia="zh-HK"/>
        </w:rPr>
        <w:t>pproved</w:t>
      </w:r>
      <w:r>
        <w:rPr>
          <w:rFonts w:ascii="Arial" w:eastAsia="MingLiU" w:hAnsi="Arial" w:cs="Arial"/>
          <w:lang w:eastAsia="zh-HK"/>
        </w:rPr>
        <w:t xml:space="preserve"> </w:t>
      </w:r>
    </w:p>
    <w:p w14:paraId="31E915DA" w14:textId="77777777" w:rsidR="00283065" w:rsidRPr="00283065" w:rsidRDefault="00283065" w:rsidP="00283065">
      <w:pPr>
        <w:pStyle w:val="ListParagraph"/>
        <w:numPr>
          <w:ilvl w:val="1"/>
          <w:numId w:val="27"/>
        </w:numPr>
        <w:spacing w:after="0" w:line="240" w:lineRule="auto"/>
        <w:rPr>
          <w:rFonts w:ascii="Arial" w:eastAsia="Poppins Light" w:hAnsi="Arial" w:cs="Arial"/>
        </w:rPr>
      </w:pPr>
      <w:r w:rsidRPr="00283065">
        <w:rPr>
          <w:rFonts w:ascii="Arial" w:eastAsia="Poppins Light" w:hAnsi="Arial" w:cs="Arial"/>
        </w:rPr>
        <w:t>the SLH self-assessment against the revised Housing Ombudsman Service Complaint Handling Code</w:t>
      </w:r>
    </w:p>
    <w:p w14:paraId="55F80F8E" w14:textId="77777777" w:rsidR="00283065" w:rsidRPr="00283065" w:rsidRDefault="00283065" w:rsidP="00283065">
      <w:pPr>
        <w:pStyle w:val="ListParagraph"/>
        <w:numPr>
          <w:ilvl w:val="1"/>
          <w:numId w:val="27"/>
        </w:numPr>
        <w:spacing w:after="0" w:line="240" w:lineRule="auto"/>
        <w:rPr>
          <w:rFonts w:ascii="Arial" w:eastAsia="Poppins Light" w:hAnsi="Arial" w:cs="Arial"/>
        </w:rPr>
      </w:pPr>
      <w:r w:rsidRPr="00283065">
        <w:rPr>
          <w:rFonts w:ascii="Arial" w:eastAsia="Poppins Light" w:hAnsi="Arial" w:cs="Arial"/>
        </w:rPr>
        <w:t xml:space="preserve">the appointment of Catherine Lindsay as Member Responsible for Complaints (MRC) </w:t>
      </w:r>
    </w:p>
    <w:p w14:paraId="28799FBE" w14:textId="77777777" w:rsidR="00283065" w:rsidRPr="00283065" w:rsidRDefault="00283065" w:rsidP="00283065">
      <w:pPr>
        <w:pStyle w:val="ListParagraph"/>
        <w:numPr>
          <w:ilvl w:val="1"/>
          <w:numId w:val="27"/>
        </w:numPr>
        <w:spacing w:after="0" w:line="240" w:lineRule="auto"/>
        <w:rPr>
          <w:rFonts w:ascii="Arial" w:eastAsia="Poppins Light" w:hAnsi="Arial" w:cs="Arial"/>
        </w:rPr>
      </w:pPr>
      <w:r w:rsidRPr="00283065">
        <w:rPr>
          <w:rFonts w:ascii="Arial" w:eastAsia="Poppins Light" w:hAnsi="Arial" w:cs="Arial"/>
        </w:rPr>
        <w:t>the updated Complaints Policy</w:t>
      </w:r>
    </w:p>
    <w:p w14:paraId="5CF1F7BD" w14:textId="77777777" w:rsidR="00283065" w:rsidRPr="00283065" w:rsidRDefault="00283065" w:rsidP="00283065">
      <w:pPr>
        <w:pStyle w:val="ListParagraph"/>
        <w:numPr>
          <w:ilvl w:val="1"/>
          <w:numId w:val="27"/>
        </w:numPr>
        <w:spacing w:after="0" w:line="240" w:lineRule="auto"/>
        <w:jc w:val="both"/>
        <w:rPr>
          <w:rFonts w:ascii="Arial" w:eastAsia="MingLiU" w:hAnsi="Arial" w:cs="Arial"/>
          <w:bCs/>
          <w:lang w:eastAsia="zh-HK"/>
        </w:rPr>
      </w:pPr>
      <w:r w:rsidRPr="00283065">
        <w:rPr>
          <w:rFonts w:ascii="Arial" w:eastAsia="Poppins Light" w:hAnsi="Arial" w:cs="Arial"/>
        </w:rPr>
        <w:t>the updated Compensation Policy</w:t>
      </w:r>
    </w:p>
    <w:p w14:paraId="5833C8D5" w14:textId="5B0CD28E" w:rsidR="008C0A4D" w:rsidRPr="00235A5E" w:rsidRDefault="00235A5E" w:rsidP="00641B16">
      <w:pPr>
        <w:pStyle w:val="ListParagraph"/>
        <w:numPr>
          <w:ilvl w:val="0"/>
          <w:numId w:val="27"/>
        </w:numPr>
        <w:jc w:val="both"/>
        <w:rPr>
          <w:rFonts w:ascii="Arial" w:hAnsi="Arial" w:cs="Arial"/>
          <w:bCs/>
          <w:sz w:val="24"/>
          <w:szCs w:val="24"/>
        </w:rPr>
      </w:pPr>
      <w:r w:rsidRPr="00235A5E">
        <w:rPr>
          <w:rFonts w:ascii="Arial" w:eastAsia="MingLiU" w:hAnsi="Arial" w:cs="Arial"/>
          <w:lang w:eastAsia="zh-HK"/>
        </w:rPr>
        <w:t xml:space="preserve">The </w:t>
      </w:r>
      <w:r>
        <w:rPr>
          <w:rFonts w:ascii="Arial" w:eastAsia="MingLiU" w:hAnsi="Arial" w:cs="Arial"/>
          <w:lang w:eastAsia="zh-HK"/>
        </w:rPr>
        <w:t>Head of Transformation &amp; Digital Data shared the Q3 performance repot including KPI targets for 24/25.</w:t>
      </w:r>
    </w:p>
    <w:p w14:paraId="2BC8AC26" w14:textId="7A2817AE" w:rsidR="00235A5E" w:rsidRPr="00235A5E" w:rsidRDefault="00235A5E" w:rsidP="00641B16">
      <w:pPr>
        <w:pStyle w:val="ListParagraph"/>
        <w:numPr>
          <w:ilvl w:val="0"/>
          <w:numId w:val="27"/>
        </w:numPr>
        <w:jc w:val="both"/>
        <w:rPr>
          <w:rFonts w:ascii="Arial" w:hAnsi="Arial" w:cs="Arial"/>
          <w:bCs/>
          <w:sz w:val="24"/>
          <w:szCs w:val="24"/>
        </w:rPr>
      </w:pPr>
      <w:r>
        <w:rPr>
          <w:rFonts w:ascii="Arial" w:eastAsia="MingLiU" w:hAnsi="Arial" w:cs="Arial"/>
          <w:lang w:eastAsia="zh-HK"/>
        </w:rPr>
        <w:t xml:space="preserve">The Board </w:t>
      </w:r>
      <w:r w:rsidRPr="00235A5E">
        <w:rPr>
          <w:rFonts w:ascii="Arial" w:eastAsia="MingLiU" w:hAnsi="Arial" w:cs="Arial"/>
          <w:b/>
          <w:bCs/>
          <w:lang w:eastAsia="zh-HK"/>
        </w:rPr>
        <w:t>approved</w:t>
      </w:r>
      <w:r>
        <w:rPr>
          <w:rFonts w:ascii="Arial" w:eastAsia="MingLiU" w:hAnsi="Arial" w:cs="Arial"/>
          <w:lang w:eastAsia="zh-HK"/>
        </w:rPr>
        <w:t xml:space="preserve"> </w:t>
      </w:r>
    </w:p>
    <w:p w14:paraId="30BDE86C" w14:textId="6B29F158" w:rsidR="00235A5E" w:rsidRPr="00235A5E" w:rsidRDefault="00235A5E" w:rsidP="00235A5E">
      <w:pPr>
        <w:pStyle w:val="ListParagraph"/>
        <w:numPr>
          <w:ilvl w:val="1"/>
          <w:numId w:val="27"/>
        </w:numPr>
        <w:spacing w:after="0" w:line="240" w:lineRule="auto"/>
        <w:jc w:val="both"/>
        <w:rPr>
          <w:rFonts w:ascii="Arial" w:eastAsia="MingLiU" w:hAnsi="Arial" w:cs="Arial"/>
          <w:lang w:eastAsia="zh-HK"/>
        </w:rPr>
      </w:pPr>
      <w:r w:rsidRPr="00235A5E">
        <w:rPr>
          <w:rFonts w:ascii="Arial" w:eastAsia="Poppins Light" w:hAnsi="Arial" w:cs="Arial"/>
        </w:rPr>
        <w:t>that the Business Performance Q3 results are in line with the expected parameters and any remedial actions are appropriate and agreed.</w:t>
      </w:r>
    </w:p>
    <w:p w14:paraId="3EF030FA" w14:textId="2DF9C12C" w:rsidR="00235A5E" w:rsidRPr="00235A5E" w:rsidRDefault="00235A5E" w:rsidP="00235A5E">
      <w:pPr>
        <w:pStyle w:val="ListParagraph"/>
        <w:numPr>
          <w:ilvl w:val="1"/>
          <w:numId w:val="27"/>
        </w:numPr>
        <w:spacing w:after="0" w:line="240" w:lineRule="auto"/>
        <w:jc w:val="both"/>
        <w:rPr>
          <w:rFonts w:ascii="Arial" w:eastAsia="MingLiU" w:hAnsi="Arial" w:cs="Arial"/>
          <w:lang w:eastAsia="zh-HK"/>
        </w:rPr>
      </w:pPr>
      <w:r w:rsidRPr="00235A5E">
        <w:rPr>
          <w:rFonts w:ascii="Arial" w:eastAsia="Poppins Light" w:hAnsi="Arial" w:cs="Arial"/>
        </w:rPr>
        <w:t>the 24/25 Business KPI Targets including the addition of 10 new KPIs and the removal of 4 KPIs from the 23/24 suite.</w:t>
      </w:r>
    </w:p>
    <w:p w14:paraId="62BF230A" w14:textId="77777777" w:rsidR="00522AA0" w:rsidRPr="00AA7357" w:rsidRDefault="00522AA0" w:rsidP="00974651">
      <w:pPr>
        <w:spacing w:after="0" w:line="240" w:lineRule="auto"/>
        <w:jc w:val="both"/>
        <w:rPr>
          <w:rFonts w:ascii="Arial" w:eastAsia="Poppins Light" w:hAnsi="Arial" w:cs="Arial"/>
        </w:rPr>
      </w:pPr>
    </w:p>
    <w:p w14:paraId="0683B21F" w14:textId="1B73E3F0" w:rsidR="0051686F" w:rsidRDefault="0051686F" w:rsidP="0051686F">
      <w:pPr>
        <w:rPr>
          <w:rFonts w:ascii="Arial" w:hAnsi="Arial" w:cs="Arial"/>
          <w:bCs/>
        </w:rPr>
      </w:pPr>
    </w:p>
    <w:p w14:paraId="47FC26E8" w14:textId="2F6D7F61" w:rsidR="0051686F" w:rsidRDefault="0051686F" w:rsidP="0051686F">
      <w:pPr>
        <w:rPr>
          <w:rFonts w:ascii="Arial" w:hAnsi="Arial" w:cs="Arial"/>
          <w:bCs/>
        </w:rPr>
      </w:pPr>
    </w:p>
    <w:p w14:paraId="16BC71B3" w14:textId="5662A21D" w:rsidR="0051686F" w:rsidRDefault="0051686F" w:rsidP="0051686F">
      <w:pPr>
        <w:rPr>
          <w:rFonts w:ascii="Arial" w:hAnsi="Arial" w:cs="Arial"/>
          <w:bCs/>
        </w:rPr>
      </w:pPr>
    </w:p>
    <w:p w14:paraId="20F21452" w14:textId="77777777" w:rsidR="0051686F" w:rsidRPr="0051686F" w:rsidRDefault="0051686F" w:rsidP="0051686F">
      <w:pPr>
        <w:rPr>
          <w:rFonts w:ascii="Arial" w:hAnsi="Arial" w:cs="Arial"/>
          <w:bCs/>
        </w:rPr>
      </w:pPr>
    </w:p>
    <w:p w14:paraId="25B4B503" w14:textId="2E604B41" w:rsidR="003A75E6" w:rsidRPr="000E09FB" w:rsidRDefault="003A75E6" w:rsidP="000E09FB">
      <w:pPr>
        <w:rPr>
          <w:rFonts w:ascii="Arial" w:hAnsi="Arial" w:cs="Arial"/>
          <w:bCs/>
        </w:rPr>
      </w:pPr>
    </w:p>
    <w:sectPr w:rsidR="003A75E6" w:rsidRPr="000E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ABE"/>
    <w:multiLevelType w:val="hybridMultilevel"/>
    <w:tmpl w:val="D4903F4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0D747B"/>
    <w:multiLevelType w:val="hybridMultilevel"/>
    <w:tmpl w:val="B7E67296"/>
    <w:lvl w:ilvl="0" w:tplc="FFFFFFFF">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9D5C4C"/>
    <w:multiLevelType w:val="hybridMultilevel"/>
    <w:tmpl w:val="1E0E5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F13CB5"/>
    <w:multiLevelType w:val="hybridMultilevel"/>
    <w:tmpl w:val="489AB0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5C02"/>
    <w:multiLevelType w:val="multilevel"/>
    <w:tmpl w:val="37C03B0A"/>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2."/>
      <w:lvlJc w:val="left"/>
      <w:pPr>
        <w:tabs>
          <w:tab w:val="num" w:pos="992"/>
        </w:tabs>
        <w:ind w:left="992" w:hanging="992"/>
      </w:pPr>
      <w:rPr>
        <w:rFonts w:hint="default"/>
        <w:b w:val="0"/>
        <w:bCs w:val="0"/>
        <w:i w:val="0"/>
        <w:iCs w:val="0"/>
        <w:color w:val="auto"/>
        <w:sz w:val="21"/>
        <w:szCs w:val="21"/>
        <w:u w:val="none"/>
      </w:rPr>
    </w:lvl>
    <w:lvl w:ilvl="2">
      <w:start w:val="1"/>
      <w:numFmt w:val="decimal"/>
      <w:pStyle w:val="Level3"/>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5" w15:restartNumberingAfterBreak="0">
    <w:nsid w:val="1D950725"/>
    <w:multiLevelType w:val="hybridMultilevel"/>
    <w:tmpl w:val="227E83B6"/>
    <w:lvl w:ilvl="0" w:tplc="D2300DBC">
      <w:start w:val="1"/>
      <w:numFmt w:val="lowerLetter"/>
      <w:lvlText w:val="%1)"/>
      <w:lvlJc w:val="left"/>
      <w:pPr>
        <w:ind w:left="720" w:hanging="360"/>
      </w:pPr>
      <w:rPr>
        <w:rFonts w:eastAsia="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25A56"/>
    <w:multiLevelType w:val="hybridMultilevel"/>
    <w:tmpl w:val="25DE28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E3019"/>
    <w:multiLevelType w:val="hybridMultilevel"/>
    <w:tmpl w:val="EA9ACE46"/>
    <w:lvl w:ilvl="0" w:tplc="0809000F">
      <w:start w:val="1"/>
      <w:numFmt w:val="decimal"/>
      <w:lvlText w:val="%1."/>
      <w:lvlJc w:val="left"/>
      <w:pPr>
        <w:ind w:left="923" w:hanging="360"/>
      </w:pPr>
    </w:lvl>
    <w:lvl w:ilvl="1" w:tplc="08090019" w:tentative="1">
      <w:start w:val="1"/>
      <w:numFmt w:val="lowerLetter"/>
      <w:lvlText w:val="%2."/>
      <w:lvlJc w:val="left"/>
      <w:pPr>
        <w:ind w:left="1643" w:hanging="360"/>
      </w:pPr>
    </w:lvl>
    <w:lvl w:ilvl="2" w:tplc="0809001B" w:tentative="1">
      <w:start w:val="1"/>
      <w:numFmt w:val="lowerRoman"/>
      <w:lvlText w:val="%3."/>
      <w:lvlJc w:val="right"/>
      <w:pPr>
        <w:ind w:left="2363" w:hanging="180"/>
      </w:pPr>
    </w:lvl>
    <w:lvl w:ilvl="3" w:tplc="0809000F" w:tentative="1">
      <w:start w:val="1"/>
      <w:numFmt w:val="decimal"/>
      <w:lvlText w:val="%4."/>
      <w:lvlJc w:val="left"/>
      <w:pPr>
        <w:ind w:left="3083" w:hanging="360"/>
      </w:pPr>
    </w:lvl>
    <w:lvl w:ilvl="4" w:tplc="08090019" w:tentative="1">
      <w:start w:val="1"/>
      <w:numFmt w:val="lowerLetter"/>
      <w:lvlText w:val="%5."/>
      <w:lvlJc w:val="left"/>
      <w:pPr>
        <w:ind w:left="3803" w:hanging="360"/>
      </w:pPr>
    </w:lvl>
    <w:lvl w:ilvl="5" w:tplc="0809001B" w:tentative="1">
      <w:start w:val="1"/>
      <w:numFmt w:val="lowerRoman"/>
      <w:lvlText w:val="%6."/>
      <w:lvlJc w:val="right"/>
      <w:pPr>
        <w:ind w:left="4523" w:hanging="180"/>
      </w:pPr>
    </w:lvl>
    <w:lvl w:ilvl="6" w:tplc="0809000F" w:tentative="1">
      <w:start w:val="1"/>
      <w:numFmt w:val="decimal"/>
      <w:lvlText w:val="%7."/>
      <w:lvlJc w:val="left"/>
      <w:pPr>
        <w:ind w:left="5243" w:hanging="360"/>
      </w:pPr>
    </w:lvl>
    <w:lvl w:ilvl="7" w:tplc="08090019" w:tentative="1">
      <w:start w:val="1"/>
      <w:numFmt w:val="lowerLetter"/>
      <w:lvlText w:val="%8."/>
      <w:lvlJc w:val="left"/>
      <w:pPr>
        <w:ind w:left="5963" w:hanging="360"/>
      </w:pPr>
    </w:lvl>
    <w:lvl w:ilvl="8" w:tplc="0809001B" w:tentative="1">
      <w:start w:val="1"/>
      <w:numFmt w:val="lowerRoman"/>
      <w:lvlText w:val="%9."/>
      <w:lvlJc w:val="right"/>
      <w:pPr>
        <w:ind w:left="6683" w:hanging="180"/>
      </w:pPr>
    </w:lvl>
  </w:abstractNum>
  <w:abstractNum w:abstractNumId="8" w15:restartNumberingAfterBreak="0">
    <w:nsid w:val="32FC3B51"/>
    <w:multiLevelType w:val="hybridMultilevel"/>
    <w:tmpl w:val="ABBE0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91100"/>
    <w:multiLevelType w:val="hybridMultilevel"/>
    <w:tmpl w:val="AC62D6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9BD43E4"/>
    <w:multiLevelType w:val="hybridMultilevel"/>
    <w:tmpl w:val="E0E8D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64E49"/>
    <w:multiLevelType w:val="hybridMultilevel"/>
    <w:tmpl w:val="3CCE1B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E82663"/>
    <w:multiLevelType w:val="hybridMultilevel"/>
    <w:tmpl w:val="CD3E48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B287EB0"/>
    <w:multiLevelType w:val="hybridMultilevel"/>
    <w:tmpl w:val="736A1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237B2"/>
    <w:multiLevelType w:val="hybridMultilevel"/>
    <w:tmpl w:val="58AAC56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D2D752C"/>
    <w:multiLevelType w:val="hybridMultilevel"/>
    <w:tmpl w:val="AF4CA240"/>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FBD4319"/>
    <w:multiLevelType w:val="hybridMultilevel"/>
    <w:tmpl w:val="DF7AD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8F3F81"/>
    <w:multiLevelType w:val="hybridMultilevel"/>
    <w:tmpl w:val="C410315A"/>
    <w:lvl w:ilvl="0" w:tplc="D15A15E8">
      <w:start w:val="1"/>
      <w:numFmt w:val="lowerLetter"/>
      <w:lvlText w:val="%1)"/>
      <w:lvlJc w:val="left"/>
      <w:pPr>
        <w:ind w:left="360" w:hanging="360"/>
      </w:pPr>
      <w:rPr>
        <w:rFonts w:ascii="Arial" w:eastAsia="Poppins Light" w:hAnsi="Arial"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2C20C9"/>
    <w:multiLevelType w:val="hybridMultilevel"/>
    <w:tmpl w:val="79866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0369FC"/>
    <w:multiLevelType w:val="hybridMultilevel"/>
    <w:tmpl w:val="4A981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9379CF"/>
    <w:multiLevelType w:val="hybridMultilevel"/>
    <w:tmpl w:val="58AAC56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55404DB"/>
    <w:multiLevelType w:val="hybridMultilevel"/>
    <w:tmpl w:val="E040B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1A1E27"/>
    <w:multiLevelType w:val="hybridMultilevel"/>
    <w:tmpl w:val="D7C674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E2449"/>
    <w:multiLevelType w:val="hybridMultilevel"/>
    <w:tmpl w:val="5418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04857"/>
    <w:multiLevelType w:val="hybridMultilevel"/>
    <w:tmpl w:val="0FB2677C"/>
    <w:lvl w:ilvl="0" w:tplc="826E2C76">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A358E"/>
    <w:multiLevelType w:val="hybridMultilevel"/>
    <w:tmpl w:val="EA289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C4711C"/>
    <w:multiLevelType w:val="hybridMultilevel"/>
    <w:tmpl w:val="121E57B6"/>
    <w:lvl w:ilvl="0" w:tplc="0809000F">
      <w:start w:val="1"/>
      <w:numFmt w:val="decimal"/>
      <w:lvlText w:val="%1."/>
      <w:lvlJc w:val="left"/>
      <w:pPr>
        <w:ind w:left="1697" w:hanging="360"/>
      </w:pPr>
    </w:lvl>
    <w:lvl w:ilvl="1" w:tplc="08090019" w:tentative="1">
      <w:start w:val="1"/>
      <w:numFmt w:val="lowerLetter"/>
      <w:lvlText w:val="%2."/>
      <w:lvlJc w:val="left"/>
      <w:pPr>
        <w:ind w:left="2417" w:hanging="360"/>
      </w:pPr>
    </w:lvl>
    <w:lvl w:ilvl="2" w:tplc="0809001B" w:tentative="1">
      <w:start w:val="1"/>
      <w:numFmt w:val="lowerRoman"/>
      <w:lvlText w:val="%3."/>
      <w:lvlJc w:val="right"/>
      <w:pPr>
        <w:ind w:left="3137" w:hanging="180"/>
      </w:pPr>
    </w:lvl>
    <w:lvl w:ilvl="3" w:tplc="0809000F" w:tentative="1">
      <w:start w:val="1"/>
      <w:numFmt w:val="decimal"/>
      <w:lvlText w:val="%4."/>
      <w:lvlJc w:val="left"/>
      <w:pPr>
        <w:ind w:left="3857" w:hanging="360"/>
      </w:pPr>
    </w:lvl>
    <w:lvl w:ilvl="4" w:tplc="08090019" w:tentative="1">
      <w:start w:val="1"/>
      <w:numFmt w:val="lowerLetter"/>
      <w:lvlText w:val="%5."/>
      <w:lvlJc w:val="left"/>
      <w:pPr>
        <w:ind w:left="4577" w:hanging="360"/>
      </w:pPr>
    </w:lvl>
    <w:lvl w:ilvl="5" w:tplc="0809001B" w:tentative="1">
      <w:start w:val="1"/>
      <w:numFmt w:val="lowerRoman"/>
      <w:lvlText w:val="%6."/>
      <w:lvlJc w:val="right"/>
      <w:pPr>
        <w:ind w:left="5297" w:hanging="180"/>
      </w:pPr>
    </w:lvl>
    <w:lvl w:ilvl="6" w:tplc="0809000F" w:tentative="1">
      <w:start w:val="1"/>
      <w:numFmt w:val="decimal"/>
      <w:lvlText w:val="%7."/>
      <w:lvlJc w:val="left"/>
      <w:pPr>
        <w:ind w:left="6017" w:hanging="360"/>
      </w:pPr>
    </w:lvl>
    <w:lvl w:ilvl="7" w:tplc="08090019" w:tentative="1">
      <w:start w:val="1"/>
      <w:numFmt w:val="lowerLetter"/>
      <w:lvlText w:val="%8."/>
      <w:lvlJc w:val="left"/>
      <w:pPr>
        <w:ind w:left="6737" w:hanging="360"/>
      </w:pPr>
    </w:lvl>
    <w:lvl w:ilvl="8" w:tplc="0809001B" w:tentative="1">
      <w:start w:val="1"/>
      <w:numFmt w:val="lowerRoman"/>
      <w:lvlText w:val="%9."/>
      <w:lvlJc w:val="right"/>
      <w:pPr>
        <w:ind w:left="7457" w:hanging="180"/>
      </w:pPr>
    </w:lvl>
  </w:abstractNum>
  <w:abstractNum w:abstractNumId="27" w15:restartNumberingAfterBreak="0">
    <w:nsid w:val="7C8D7C5C"/>
    <w:multiLevelType w:val="hybridMultilevel"/>
    <w:tmpl w:val="297020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15527">
    <w:abstractNumId w:val="27"/>
  </w:num>
  <w:num w:numId="2" w16cid:durableId="488061883">
    <w:abstractNumId w:val="7"/>
  </w:num>
  <w:num w:numId="3" w16cid:durableId="143786326">
    <w:abstractNumId w:val="26"/>
  </w:num>
  <w:num w:numId="4" w16cid:durableId="2076278132">
    <w:abstractNumId w:val="19"/>
  </w:num>
  <w:num w:numId="5" w16cid:durableId="566843870">
    <w:abstractNumId w:val="18"/>
  </w:num>
  <w:num w:numId="6" w16cid:durableId="140775559">
    <w:abstractNumId w:val="12"/>
  </w:num>
  <w:num w:numId="7" w16cid:durableId="1577856726">
    <w:abstractNumId w:val="2"/>
  </w:num>
  <w:num w:numId="8" w16cid:durableId="1004937557">
    <w:abstractNumId w:val="23"/>
  </w:num>
  <w:num w:numId="9" w16cid:durableId="831143740">
    <w:abstractNumId w:val="4"/>
  </w:num>
  <w:num w:numId="10" w16cid:durableId="1905598835">
    <w:abstractNumId w:val="10"/>
  </w:num>
  <w:num w:numId="11" w16cid:durableId="390806862">
    <w:abstractNumId w:val="9"/>
  </w:num>
  <w:num w:numId="12" w16cid:durableId="865489479">
    <w:abstractNumId w:val="24"/>
  </w:num>
  <w:num w:numId="13" w16cid:durableId="1933051198">
    <w:abstractNumId w:val="20"/>
  </w:num>
  <w:num w:numId="14" w16cid:durableId="1230077002">
    <w:abstractNumId w:val="11"/>
  </w:num>
  <w:num w:numId="15" w16cid:durableId="538323410">
    <w:abstractNumId w:val="6"/>
  </w:num>
  <w:num w:numId="16" w16cid:durableId="1546059784">
    <w:abstractNumId w:val="14"/>
  </w:num>
  <w:num w:numId="17" w16cid:durableId="1554612181">
    <w:abstractNumId w:val="15"/>
  </w:num>
  <w:num w:numId="18" w16cid:durableId="506948788">
    <w:abstractNumId w:val="25"/>
  </w:num>
  <w:num w:numId="19" w16cid:durableId="1679497716">
    <w:abstractNumId w:val="1"/>
  </w:num>
  <w:num w:numId="20" w16cid:durableId="390428848">
    <w:abstractNumId w:val="27"/>
  </w:num>
  <w:num w:numId="21" w16cid:durableId="1315647791">
    <w:abstractNumId w:val="3"/>
  </w:num>
  <w:num w:numId="22" w16cid:durableId="1671055905">
    <w:abstractNumId w:val="17"/>
  </w:num>
  <w:num w:numId="23" w16cid:durableId="1674988318">
    <w:abstractNumId w:val="0"/>
  </w:num>
  <w:num w:numId="24" w16cid:durableId="564755595">
    <w:abstractNumId w:val="16"/>
  </w:num>
  <w:num w:numId="25" w16cid:durableId="844906866">
    <w:abstractNumId w:val="21"/>
  </w:num>
  <w:num w:numId="26" w16cid:durableId="258374221">
    <w:abstractNumId w:val="8"/>
  </w:num>
  <w:num w:numId="27" w16cid:durableId="607081686">
    <w:abstractNumId w:val="22"/>
  </w:num>
  <w:num w:numId="28" w16cid:durableId="432215259">
    <w:abstractNumId w:val="13"/>
  </w:num>
  <w:num w:numId="29" w16cid:durableId="1405878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1A"/>
    <w:rsid w:val="0001778E"/>
    <w:rsid w:val="00041D2E"/>
    <w:rsid w:val="00054BEC"/>
    <w:rsid w:val="00094C31"/>
    <w:rsid w:val="000A06B6"/>
    <w:rsid w:val="000E09FB"/>
    <w:rsid w:val="00111206"/>
    <w:rsid w:val="00127400"/>
    <w:rsid w:val="001704A9"/>
    <w:rsid w:val="00194C3A"/>
    <w:rsid w:val="001A79EA"/>
    <w:rsid w:val="001F7659"/>
    <w:rsid w:val="00202782"/>
    <w:rsid w:val="00235A5E"/>
    <w:rsid w:val="00252954"/>
    <w:rsid w:val="00270799"/>
    <w:rsid w:val="00283065"/>
    <w:rsid w:val="002A128A"/>
    <w:rsid w:val="00307139"/>
    <w:rsid w:val="00356B3F"/>
    <w:rsid w:val="0037349F"/>
    <w:rsid w:val="003A75E6"/>
    <w:rsid w:val="003B229D"/>
    <w:rsid w:val="003B5BA2"/>
    <w:rsid w:val="003D3953"/>
    <w:rsid w:val="003E6C5B"/>
    <w:rsid w:val="004212A3"/>
    <w:rsid w:val="0047363F"/>
    <w:rsid w:val="004E7D87"/>
    <w:rsid w:val="004F3F82"/>
    <w:rsid w:val="0051686F"/>
    <w:rsid w:val="00522AA0"/>
    <w:rsid w:val="005334A0"/>
    <w:rsid w:val="005534B7"/>
    <w:rsid w:val="005A6152"/>
    <w:rsid w:val="005B0B81"/>
    <w:rsid w:val="005D72A0"/>
    <w:rsid w:val="006400DE"/>
    <w:rsid w:val="00662932"/>
    <w:rsid w:val="00670F88"/>
    <w:rsid w:val="00686AA3"/>
    <w:rsid w:val="006D0F78"/>
    <w:rsid w:val="0076585C"/>
    <w:rsid w:val="00784207"/>
    <w:rsid w:val="007E45F7"/>
    <w:rsid w:val="008147F3"/>
    <w:rsid w:val="00862A2D"/>
    <w:rsid w:val="008C0A4D"/>
    <w:rsid w:val="008F02B8"/>
    <w:rsid w:val="00974651"/>
    <w:rsid w:val="009A496B"/>
    <w:rsid w:val="009F128B"/>
    <w:rsid w:val="009F4910"/>
    <w:rsid w:val="00A26D7E"/>
    <w:rsid w:val="00A445D6"/>
    <w:rsid w:val="00AA1267"/>
    <w:rsid w:val="00AA7357"/>
    <w:rsid w:val="00AF3AE1"/>
    <w:rsid w:val="00B35D49"/>
    <w:rsid w:val="00B50575"/>
    <w:rsid w:val="00B65804"/>
    <w:rsid w:val="00B80F8D"/>
    <w:rsid w:val="00BB051A"/>
    <w:rsid w:val="00BC2C37"/>
    <w:rsid w:val="00BD2A5C"/>
    <w:rsid w:val="00C57F3C"/>
    <w:rsid w:val="00C72AFF"/>
    <w:rsid w:val="00C80E0C"/>
    <w:rsid w:val="00CA1C4F"/>
    <w:rsid w:val="00CF28DC"/>
    <w:rsid w:val="00D2261A"/>
    <w:rsid w:val="00D272B7"/>
    <w:rsid w:val="00DA2542"/>
    <w:rsid w:val="00E062AA"/>
    <w:rsid w:val="00E703DE"/>
    <w:rsid w:val="00FA0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2A335"/>
  <w15:chartTrackingRefBased/>
  <w15:docId w15:val="{24AF0168-8CF1-4709-AF66-FD49A7F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051A"/>
    <w:pPr>
      <w:ind w:left="720"/>
      <w:contextualSpacing/>
    </w:pPr>
  </w:style>
  <w:style w:type="character" w:customStyle="1" w:styleId="ListParagraphChar">
    <w:name w:val="List Paragraph Char"/>
    <w:link w:val="ListParagraph"/>
    <w:uiPriority w:val="34"/>
    <w:rsid w:val="00B80F8D"/>
  </w:style>
  <w:style w:type="paragraph" w:styleId="BalloonText">
    <w:name w:val="Balloon Text"/>
    <w:basedOn w:val="Normal"/>
    <w:link w:val="BalloonTextChar"/>
    <w:uiPriority w:val="99"/>
    <w:semiHidden/>
    <w:unhideWhenUsed/>
    <w:rsid w:val="00AA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267"/>
    <w:rPr>
      <w:rFonts w:ascii="Segoe UI" w:hAnsi="Segoe UI" w:cs="Segoe UI"/>
      <w:sz w:val="18"/>
      <w:szCs w:val="18"/>
    </w:rPr>
  </w:style>
  <w:style w:type="character" w:customStyle="1" w:styleId="Heading1Char">
    <w:name w:val="Heading 1 Char"/>
    <w:rsid w:val="008F02B8"/>
    <w:rPr>
      <w:rFonts w:ascii="Arial Black" w:hAnsi="Arial Black"/>
      <w:sz w:val="44"/>
      <w:lang w:val="en-GB"/>
    </w:rPr>
  </w:style>
  <w:style w:type="paragraph" w:customStyle="1" w:styleId="Level1">
    <w:name w:val="Level 1"/>
    <w:basedOn w:val="Normal"/>
    <w:next w:val="Normal"/>
    <w:qFormat/>
    <w:rsid w:val="008F02B8"/>
    <w:pPr>
      <w:numPr>
        <w:numId w:val="9"/>
      </w:numPr>
      <w:spacing w:after="240" w:line="276" w:lineRule="auto"/>
      <w:jc w:val="both"/>
      <w:outlineLvl w:val="0"/>
    </w:pPr>
    <w:rPr>
      <w:rFonts w:ascii="Arial" w:eastAsia="Times New Roman" w:hAnsi="Arial" w:cs="Arial"/>
      <w:sz w:val="21"/>
      <w:szCs w:val="21"/>
      <w:lang w:eastAsia="en-GB"/>
    </w:rPr>
  </w:style>
  <w:style w:type="paragraph" w:customStyle="1" w:styleId="Level2">
    <w:name w:val="Level 2"/>
    <w:basedOn w:val="Normal"/>
    <w:next w:val="Normal"/>
    <w:qFormat/>
    <w:rsid w:val="008F02B8"/>
    <w:pPr>
      <w:numPr>
        <w:ilvl w:val="1"/>
        <w:numId w:val="9"/>
      </w:numPr>
      <w:tabs>
        <w:tab w:val="left" w:pos="2016"/>
        <w:tab w:val="left" w:pos="3024"/>
        <w:tab w:val="left" w:pos="4032"/>
        <w:tab w:val="left" w:pos="5040"/>
        <w:tab w:val="left" w:pos="6048"/>
        <w:tab w:val="left" w:pos="7056"/>
        <w:tab w:val="left" w:pos="8064"/>
        <w:tab w:val="right" w:pos="9029"/>
      </w:tabs>
      <w:spacing w:after="240" w:line="276" w:lineRule="auto"/>
      <w:jc w:val="both"/>
      <w:outlineLvl w:val="1"/>
    </w:pPr>
    <w:rPr>
      <w:rFonts w:ascii="Arial" w:eastAsia="Times New Roman" w:hAnsi="Arial" w:cs="Arial"/>
      <w:sz w:val="21"/>
      <w:szCs w:val="21"/>
      <w:lang w:eastAsia="en-GB"/>
    </w:rPr>
  </w:style>
  <w:style w:type="paragraph" w:customStyle="1" w:styleId="Level3">
    <w:name w:val="Level 3"/>
    <w:basedOn w:val="Normal"/>
    <w:next w:val="Normal"/>
    <w:qFormat/>
    <w:rsid w:val="008F02B8"/>
    <w:pPr>
      <w:numPr>
        <w:ilvl w:val="2"/>
        <w:numId w:val="9"/>
      </w:numPr>
      <w:tabs>
        <w:tab w:val="left" w:pos="2016"/>
        <w:tab w:val="left" w:pos="3024"/>
        <w:tab w:val="left" w:pos="4032"/>
        <w:tab w:val="left" w:pos="5040"/>
        <w:tab w:val="left" w:pos="6048"/>
        <w:tab w:val="left" w:pos="7056"/>
        <w:tab w:val="left" w:pos="8064"/>
        <w:tab w:val="right" w:pos="9029"/>
      </w:tabs>
      <w:spacing w:after="240" w:line="276" w:lineRule="auto"/>
      <w:jc w:val="both"/>
      <w:outlineLvl w:val="2"/>
    </w:pPr>
    <w:rPr>
      <w:rFonts w:ascii="Arial" w:eastAsia="Times New Roman" w:hAnsi="Arial" w:cs="Arial"/>
      <w:sz w:val="21"/>
      <w:szCs w:val="21"/>
      <w:lang w:eastAsia="en-GB"/>
    </w:rPr>
  </w:style>
  <w:style w:type="paragraph" w:customStyle="1" w:styleId="Level4">
    <w:name w:val="Level 4"/>
    <w:basedOn w:val="Normal"/>
    <w:next w:val="Normal"/>
    <w:qFormat/>
    <w:rsid w:val="008F02B8"/>
    <w:pPr>
      <w:numPr>
        <w:ilvl w:val="3"/>
        <w:numId w:val="9"/>
      </w:numPr>
      <w:tabs>
        <w:tab w:val="left" w:pos="3024"/>
        <w:tab w:val="left" w:pos="4032"/>
        <w:tab w:val="left" w:pos="5040"/>
        <w:tab w:val="left" w:pos="6048"/>
        <w:tab w:val="left" w:pos="7056"/>
        <w:tab w:val="left" w:pos="8064"/>
        <w:tab w:val="right" w:pos="9029"/>
      </w:tabs>
      <w:spacing w:after="240" w:line="276" w:lineRule="auto"/>
      <w:jc w:val="both"/>
      <w:outlineLvl w:val="3"/>
    </w:pPr>
    <w:rPr>
      <w:rFonts w:ascii="Arial" w:eastAsia="Times New Roman" w:hAnsi="Arial" w:cs="Arial"/>
      <w:sz w:val="21"/>
      <w:szCs w:val="21"/>
      <w:lang w:eastAsia="en-GB"/>
    </w:rPr>
  </w:style>
  <w:style w:type="paragraph" w:customStyle="1" w:styleId="Level5">
    <w:name w:val="Level 5"/>
    <w:basedOn w:val="Normal"/>
    <w:next w:val="Normal"/>
    <w:qFormat/>
    <w:rsid w:val="008F02B8"/>
    <w:pPr>
      <w:numPr>
        <w:ilvl w:val="4"/>
        <w:numId w:val="9"/>
      </w:numPr>
      <w:tabs>
        <w:tab w:val="left" w:pos="3024"/>
        <w:tab w:val="left" w:pos="4032"/>
        <w:tab w:val="left" w:pos="5040"/>
        <w:tab w:val="left" w:pos="6048"/>
        <w:tab w:val="left" w:pos="7056"/>
        <w:tab w:val="left" w:pos="8064"/>
        <w:tab w:val="right" w:pos="9029"/>
      </w:tabs>
      <w:spacing w:after="240" w:line="276" w:lineRule="auto"/>
      <w:jc w:val="both"/>
      <w:outlineLvl w:val="4"/>
    </w:pPr>
    <w:rPr>
      <w:rFonts w:ascii="Arial" w:eastAsia="Times New Roman" w:hAnsi="Arial" w:cs="Arial"/>
      <w:sz w:val="21"/>
      <w:szCs w:val="21"/>
      <w:lang w:eastAsia="en-GB"/>
    </w:rPr>
  </w:style>
  <w:style w:type="paragraph" w:customStyle="1" w:styleId="Level6">
    <w:name w:val="Level 6"/>
    <w:basedOn w:val="Normal"/>
    <w:next w:val="Normal"/>
    <w:qFormat/>
    <w:rsid w:val="008F02B8"/>
    <w:pPr>
      <w:numPr>
        <w:ilvl w:val="5"/>
        <w:numId w:val="9"/>
      </w:numPr>
      <w:tabs>
        <w:tab w:val="left" w:pos="3024"/>
        <w:tab w:val="left" w:pos="4032"/>
        <w:tab w:val="left" w:pos="5040"/>
        <w:tab w:val="left" w:pos="6048"/>
        <w:tab w:val="left" w:pos="7056"/>
        <w:tab w:val="left" w:pos="8064"/>
        <w:tab w:val="right" w:pos="9029"/>
      </w:tabs>
      <w:spacing w:after="240" w:line="276" w:lineRule="auto"/>
      <w:jc w:val="both"/>
      <w:outlineLvl w:val="5"/>
    </w:pPr>
    <w:rPr>
      <w:rFonts w:ascii="Arial" w:eastAsia="Times New Roman" w:hAnsi="Arial" w:cs="Arial"/>
      <w:sz w:val="21"/>
      <w:szCs w:val="21"/>
      <w:lang w:eastAsia="en-GB"/>
    </w:rPr>
  </w:style>
  <w:style w:type="paragraph" w:customStyle="1" w:styleId="Level7">
    <w:name w:val="Level 7"/>
    <w:basedOn w:val="Normal"/>
    <w:next w:val="Normal"/>
    <w:qFormat/>
    <w:rsid w:val="008F02B8"/>
    <w:pPr>
      <w:numPr>
        <w:ilvl w:val="6"/>
        <w:numId w:val="9"/>
      </w:numPr>
      <w:tabs>
        <w:tab w:val="left" w:pos="3024"/>
        <w:tab w:val="left" w:pos="4032"/>
        <w:tab w:val="left" w:pos="5040"/>
        <w:tab w:val="left" w:pos="6048"/>
        <w:tab w:val="left" w:pos="7056"/>
        <w:tab w:val="left" w:pos="8064"/>
        <w:tab w:val="right" w:pos="9029"/>
      </w:tabs>
      <w:spacing w:after="240" w:line="276" w:lineRule="auto"/>
      <w:jc w:val="both"/>
      <w:outlineLvl w:val="6"/>
    </w:pPr>
    <w:rPr>
      <w:rFonts w:ascii="Arial" w:eastAsia="Times New Roman" w:hAnsi="Arial" w:cs="Arial"/>
      <w:sz w:val="21"/>
      <w:szCs w:val="21"/>
      <w:lang w:eastAsia="en-GB"/>
    </w:rPr>
  </w:style>
  <w:style w:type="paragraph" w:customStyle="1" w:styleId="Level8">
    <w:name w:val="Level 8"/>
    <w:basedOn w:val="Normal"/>
    <w:next w:val="Normal"/>
    <w:qFormat/>
    <w:rsid w:val="008F02B8"/>
    <w:pPr>
      <w:numPr>
        <w:ilvl w:val="7"/>
        <w:numId w:val="9"/>
      </w:numPr>
      <w:tabs>
        <w:tab w:val="left" w:pos="3024"/>
        <w:tab w:val="left" w:pos="4032"/>
        <w:tab w:val="left" w:pos="5040"/>
        <w:tab w:val="left" w:pos="6048"/>
        <w:tab w:val="left" w:pos="7056"/>
        <w:tab w:val="left" w:pos="8064"/>
        <w:tab w:val="right" w:pos="9029"/>
      </w:tabs>
      <w:spacing w:after="240" w:line="276" w:lineRule="auto"/>
      <w:jc w:val="both"/>
      <w:outlineLvl w:val="7"/>
    </w:pPr>
    <w:rPr>
      <w:rFonts w:ascii="Arial" w:eastAsia="Times New Roman" w:hAnsi="Arial" w:cs="Arial"/>
      <w:sz w:val="21"/>
      <w:szCs w:val="21"/>
      <w:lang w:eastAsia="en-GB"/>
    </w:rPr>
  </w:style>
  <w:style w:type="paragraph" w:styleId="PlainText">
    <w:name w:val="Plain Text"/>
    <w:basedOn w:val="Normal"/>
    <w:link w:val="PlainTextChar"/>
    <w:uiPriority w:val="99"/>
    <w:unhideWhenUsed/>
    <w:rsid w:val="0012740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2740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7477FE49FF441AFA1A0033A4664AA" ma:contentTypeVersion="12" ma:contentTypeDescription="Create a new document." ma:contentTypeScope="" ma:versionID="1587961f8d8296559218024fb26f6c07">
  <xsd:schema xmlns:xsd="http://www.w3.org/2001/XMLSchema" xmlns:xs="http://www.w3.org/2001/XMLSchema" xmlns:p="http://schemas.microsoft.com/office/2006/metadata/properties" xmlns:ns3="70bb553d-a9e5-46e3-bb0d-dfc4888d1c57" xmlns:ns4="62ef1138-8038-4efa-9e9a-b6399df32932" targetNamespace="http://schemas.microsoft.com/office/2006/metadata/properties" ma:root="true" ma:fieldsID="1e683519eebddc618fb2cfbee11bfd4a" ns3:_="" ns4:_="">
    <xsd:import namespace="70bb553d-a9e5-46e3-bb0d-dfc4888d1c57"/>
    <xsd:import namespace="62ef1138-8038-4efa-9e9a-b6399df329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b553d-a9e5-46e3-bb0d-dfc4888d1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f1138-8038-4efa-9e9a-b6399df329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4C021-3E85-44E9-9804-55D9CC6BAD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F4EFA-B9A1-4A4A-A4F4-FDC6211D7DC8}">
  <ds:schemaRefs>
    <ds:schemaRef ds:uri="http://schemas.microsoft.com/sharepoint/v3/contenttype/forms"/>
  </ds:schemaRefs>
</ds:datastoreItem>
</file>

<file path=customXml/itemProps3.xml><?xml version="1.0" encoding="utf-8"?>
<ds:datastoreItem xmlns:ds="http://schemas.openxmlformats.org/officeDocument/2006/customXml" ds:itemID="{2E99D60F-89EC-44CD-811B-BC9F29380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b553d-a9e5-46e3-bb0d-dfc4888d1c57"/>
    <ds:schemaRef ds:uri="62ef1138-8038-4efa-9e9a-b6399df3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John Mansergh (he/him)</cp:lastModifiedBy>
  <cp:revision>2</cp:revision>
  <dcterms:created xsi:type="dcterms:W3CDTF">2024-09-16T10:32:00Z</dcterms:created>
  <dcterms:modified xsi:type="dcterms:W3CDTF">2024-09-16T10:32:00Z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0x010100D8A7477FE49FF441AFA1A0033A4664AA</vt:lpwstr>
  </property>
  <property fmtid="{D5CDD505-2E9C-101B-9397-08002B2CF9AE}" pid="3" name="GrammarlyDocumentId">
    <vt:lpwstr>94fd0bd95b605def0cd5280cd955fe001bedd9ff0a9770a3c9b0dceaea07c01d</vt:lpwstr>
  </property>
</Properties>
</file>